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1240" w14:textId="77777777" w:rsidR="00F00DAA" w:rsidRPr="007F3920" w:rsidRDefault="00F00DAA" w:rsidP="00F00DAA">
      <w:pPr>
        <w:pBdr>
          <w:bottom w:val="single" w:sz="8" w:space="1" w:color="auto"/>
        </w:pBdr>
        <w:spacing w:after="40"/>
        <w:jc w:val="center"/>
        <w:rPr>
          <w:rFonts w:ascii="National Book" w:hAnsi="National Book"/>
          <w:b/>
          <w:sz w:val="36"/>
          <w:szCs w:val="36"/>
        </w:rPr>
      </w:pPr>
      <w:r w:rsidRPr="007F3920">
        <w:rPr>
          <w:rFonts w:ascii="National Book" w:hAnsi="National Book"/>
          <w:b/>
          <w:sz w:val="36"/>
          <w:szCs w:val="36"/>
        </w:rPr>
        <w:t>COC Webinar | February 7</w:t>
      </w:r>
      <w:r w:rsidRPr="007F3920">
        <w:rPr>
          <w:rFonts w:ascii="National Book" w:hAnsi="National Book"/>
          <w:b/>
          <w:sz w:val="36"/>
          <w:szCs w:val="36"/>
          <w:vertAlign w:val="superscript"/>
        </w:rPr>
        <w:t>th</w:t>
      </w:r>
      <w:r w:rsidRPr="007F3920">
        <w:rPr>
          <w:rFonts w:ascii="National Book" w:hAnsi="National Book"/>
          <w:b/>
          <w:sz w:val="36"/>
          <w:szCs w:val="36"/>
        </w:rPr>
        <w:t xml:space="preserve"> 2019 | Sport Philanthropy</w:t>
      </w:r>
    </w:p>
    <w:p w14:paraId="7676D9BE" w14:textId="77777777" w:rsidR="00F00DAA" w:rsidRPr="007F3920" w:rsidRDefault="00F00DAA">
      <w:pPr>
        <w:rPr>
          <w:rFonts w:ascii="National Book" w:hAnsi="National Book"/>
        </w:rPr>
      </w:pPr>
    </w:p>
    <w:p w14:paraId="0F94A336" w14:textId="77777777" w:rsidR="007F3920" w:rsidRPr="007F3920" w:rsidRDefault="00F00DAA" w:rsidP="007F3920">
      <w:pPr>
        <w:rPr>
          <w:rFonts w:ascii="National Book" w:hAnsi="National Book"/>
        </w:rPr>
      </w:pPr>
      <w:r w:rsidRPr="007F3920">
        <w:rPr>
          <w:rFonts w:ascii="National Book" w:hAnsi="National Book"/>
          <w:b/>
          <w:sz w:val="22"/>
          <w:szCs w:val="22"/>
        </w:rPr>
        <w:t xml:space="preserve">Host: </w:t>
      </w:r>
      <w:r w:rsidRPr="007F3920">
        <w:rPr>
          <w:rFonts w:ascii="National Book" w:hAnsi="National Book"/>
          <w:b/>
          <w:sz w:val="22"/>
          <w:szCs w:val="22"/>
        </w:rPr>
        <w:tab/>
      </w:r>
      <w:r w:rsidRPr="007F3920">
        <w:rPr>
          <w:rFonts w:ascii="National Book" w:hAnsi="National Book"/>
          <w:sz w:val="22"/>
          <w:szCs w:val="22"/>
        </w:rPr>
        <w:tab/>
      </w:r>
      <w:r w:rsidRPr="00985BF6">
        <w:rPr>
          <w:rFonts w:ascii="National Book" w:hAnsi="National Book"/>
          <w:sz w:val="22"/>
          <w:szCs w:val="22"/>
        </w:rPr>
        <w:t xml:space="preserve">Samantha Rogers | co-founder, </w:t>
      </w:r>
      <w:hyperlink r:id="rId7" w:history="1">
        <w:r w:rsidRPr="00985BF6">
          <w:rPr>
            <w:rStyle w:val="Hyperlink"/>
            <w:rFonts w:ascii="National Book" w:hAnsi="National Book"/>
            <w:color w:val="auto"/>
            <w:sz w:val="22"/>
            <w:szCs w:val="22"/>
          </w:rPr>
          <w:t>Relate Social Capital</w:t>
        </w:r>
      </w:hyperlink>
      <w:r w:rsidR="007F3920" w:rsidRPr="00985BF6">
        <w:rPr>
          <w:rStyle w:val="Hyperlink"/>
          <w:rFonts w:ascii="National Book" w:hAnsi="National Book"/>
          <w:color w:val="auto"/>
          <w:sz w:val="22"/>
          <w:szCs w:val="22"/>
        </w:rPr>
        <w:t xml:space="preserve"> </w:t>
      </w:r>
      <w:hyperlink r:id="rId8" w:history="1">
        <w:r w:rsidR="007F3920" w:rsidRPr="00985BF6">
          <w:rPr>
            <w:rStyle w:val="Hyperlink"/>
            <w:rFonts w:ascii="National Book" w:hAnsi="National Book"/>
          </w:rPr>
          <w:t>samantha@relatesocialcapital.com</w:t>
        </w:r>
      </w:hyperlink>
    </w:p>
    <w:p w14:paraId="488C4C94" w14:textId="30F4F2AC" w:rsidR="00F00DAA" w:rsidRPr="007F3920" w:rsidRDefault="00F00DAA">
      <w:pPr>
        <w:rPr>
          <w:rFonts w:ascii="National Book" w:hAnsi="National Book"/>
          <w:sz w:val="22"/>
          <w:szCs w:val="22"/>
        </w:rPr>
      </w:pPr>
    </w:p>
    <w:p w14:paraId="49629BA9" w14:textId="5936BEF6" w:rsidR="00F00DAA" w:rsidRPr="007F3920" w:rsidRDefault="009E4070">
      <w:pPr>
        <w:rPr>
          <w:rFonts w:ascii="National Book" w:hAnsi="National Book"/>
          <w:sz w:val="22"/>
          <w:szCs w:val="22"/>
        </w:rPr>
      </w:pPr>
      <w:r>
        <w:rPr>
          <w:rFonts w:ascii="National Book" w:hAnsi="National Book"/>
          <w:sz w:val="22"/>
          <w:szCs w:val="22"/>
        </w:rPr>
        <w:t xml:space="preserve">To view the webinar, please click </w:t>
      </w:r>
      <w:hyperlink r:id="rId9" w:history="1">
        <w:r w:rsidRPr="009E4070">
          <w:rPr>
            <w:rStyle w:val="Hyperlink"/>
            <w:rFonts w:ascii="National Book" w:hAnsi="National Book"/>
            <w:b/>
            <w:sz w:val="28"/>
            <w:szCs w:val="28"/>
          </w:rPr>
          <w:t>HERE</w:t>
        </w:r>
      </w:hyperlink>
      <w:bookmarkStart w:id="0" w:name="_GoBack"/>
      <w:bookmarkEnd w:id="0"/>
    </w:p>
    <w:p w14:paraId="6402911A" w14:textId="77777777" w:rsidR="009E4070" w:rsidRDefault="009E4070" w:rsidP="00F00DAA">
      <w:pPr>
        <w:ind w:left="1440" w:hanging="1440"/>
        <w:rPr>
          <w:rFonts w:ascii="National Book" w:hAnsi="National Book"/>
          <w:b/>
          <w:sz w:val="22"/>
          <w:szCs w:val="22"/>
        </w:rPr>
      </w:pPr>
    </w:p>
    <w:p w14:paraId="66FA90B0" w14:textId="5945C0CE" w:rsidR="00F00DAA" w:rsidRPr="007F3920" w:rsidRDefault="00F00DAA" w:rsidP="00F00DAA">
      <w:pPr>
        <w:ind w:left="1440" w:hanging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b/>
          <w:sz w:val="22"/>
          <w:szCs w:val="22"/>
        </w:rPr>
        <w:t>Overview:</w:t>
      </w:r>
      <w:r w:rsidRPr="007F3920">
        <w:rPr>
          <w:rFonts w:ascii="National Book" w:hAnsi="National Book"/>
          <w:sz w:val="22"/>
          <w:szCs w:val="22"/>
        </w:rPr>
        <w:tab/>
        <w:t>Sport philanthropy is unique, so your fund development and engagement strategy should be too. While the number of charities continues to grow in Canada, as a Registered Canadian Amateur Athletic Association (RCAAA), you offer something no one else does – your sport. You come with built in stakeholders, passion and reach. Building a solid philanthropic program requires patience and focus, but if you are willing to invest time and effort into diversifying your revenue, you will see a sustainable outcome. Together we are going to review practical steps to take to grow a fund development and engagement strategy that will have two main objectives:</w:t>
      </w:r>
    </w:p>
    <w:p w14:paraId="358D982A" w14:textId="77777777" w:rsidR="00F00DAA" w:rsidRPr="007F3920" w:rsidRDefault="00F00DAA" w:rsidP="00F00DAA">
      <w:pPr>
        <w:pStyle w:val="ListParagraph"/>
        <w:numPr>
          <w:ilvl w:val="0"/>
          <w:numId w:val="1"/>
        </w:numPr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Grow the culture of philanthropy within, and around your organization by engaging your community of alumni, fans, friends and families</w:t>
      </w:r>
    </w:p>
    <w:p w14:paraId="14135023" w14:textId="77777777" w:rsidR="00F00DAA" w:rsidRPr="007F3920" w:rsidRDefault="00F00DAA" w:rsidP="00F00DAA">
      <w:pPr>
        <w:pStyle w:val="ListParagraph"/>
        <w:numPr>
          <w:ilvl w:val="0"/>
          <w:numId w:val="1"/>
        </w:numPr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Diversify your current revenue model through investing in philanthropy for long-term sustainable growth and success</w:t>
      </w:r>
    </w:p>
    <w:p w14:paraId="43F61021" w14:textId="77777777" w:rsidR="00F00DAA" w:rsidRPr="007F3920" w:rsidRDefault="00F00DAA" w:rsidP="00F00DAA">
      <w:pPr>
        <w:rPr>
          <w:rFonts w:ascii="National Book" w:hAnsi="National Book"/>
          <w:sz w:val="22"/>
          <w:szCs w:val="22"/>
        </w:rPr>
      </w:pPr>
    </w:p>
    <w:p w14:paraId="51D58B6B" w14:textId="77777777" w:rsidR="00F00DAA" w:rsidRPr="007F3920" w:rsidRDefault="00F00DAA" w:rsidP="00F00DAA">
      <w:pPr>
        <w:rPr>
          <w:rFonts w:ascii="National Book" w:hAnsi="National Book"/>
          <w:b/>
          <w:sz w:val="22"/>
          <w:szCs w:val="22"/>
        </w:rPr>
      </w:pPr>
      <w:r w:rsidRPr="007F3920">
        <w:rPr>
          <w:rFonts w:ascii="National Book" w:hAnsi="National Book" w:cs="Arial"/>
          <w:b/>
          <w:sz w:val="22"/>
          <w:szCs w:val="22"/>
        </w:rPr>
        <w:t>Resources:</w:t>
      </w:r>
      <w:r w:rsidRPr="007F3920">
        <w:rPr>
          <w:rFonts w:ascii="National Book" w:hAnsi="National Book"/>
          <w:b/>
          <w:sz w:val="22"/>
          <w:szCs w:val="22"/>
        </w:rPr>
        <w:tab/>
      </w:r>
      <w:r w:rsidR="00B30C1E" w:rsidRPr="007F3920">
        <w:rPr>
          <w:rFonts w:ascii="National Book" w:hAnsi="National Book"/>
          <w:sz w:val="22"/>
          <w:szCs w:val="22"/>
        </w:rPr>
        <w:t>My Blog Posts</w:t>
      </w:r>
    </w:p>
    <w:p w14:paraId="08526203" w14:textId="77777777" w:rsidR="00F00DAA" w:rsidRPr="00EC3BF1" w:rsidRDefault="00B14273" w:rsidP="00F00DAA">
      <w:pPr>
        <w:pStyle w:val="ListParagraph"/>
        <w:numPr>
          <w:ilvl w:val="0"/>
          <w:numId w:val="2"/>
        </w:numPr>
        <w:rPr>
          <w:rFonts w:ascii="National Book" w:hAnsi="National Book"/>
          <w:b/>
          <w:color w:val="0066FF"/>
          <w:sz w:val="22"/>
          <w:szCs w:val="22"/>
        </w:rPr>
      </w:pPr>
      <w:hyperlink r:id="rId10" w:tgtFrame="_blank" w:history="1">
        <w:r w:rsidR="00F00DAA" w:rsidRPr="00EC3BF1">
          <w:rPr>
            <w:rFonts w:ascii="National Book" w:hAnsi="National Book" w:cs="Arial"/>
            <w:color w:val="0066FF"/>
            <w:sz w:val="22"/>
            <w:szCs w:val="22"/>
            <w:u w:val="single"/>
          </w:rPr>
          <w:t>How to Engage Alumni</w:t>
        </w:r>
      </w:hyperlink>
    </w:p>
    <w:p w14:paraId="5B86D445" w14:textId="77777777" w:rsidR="00F00DAA" w:rsidRPr="00EC3BF1" w:rsidRDefault="00B14273" w:rsidP="00F00DAA">
      <w:pPr>
        <w:pStyle w:val="ListParagraph"/>
        <w:numPr>
          <w:ilvl w:val="0"/>
          <w:numId w:val="2"/>
        </w:numPr>
        <w:rPr>
          <w:rFonts w:ascii="National Book" w:hAnsi="National Book"/>
          <w:b/>
          <w:color w:val="0066FF"/>
          <w:sz w:val="22"/>
          <w:szCs w:val="22"/>
        </w:rPr>
      </w:pPr>
      <w:hyperlink r:id="rId11" w:tgtFrame="_blank" w:history="1">
        <w:r w:rsidR="00F00DAA" w:rsidRPr="00EC3BF1">
          <w:rPr>
            <w:rFonts w:ascii="National Book" w:hAnsi="National Book" w:cs="Arial"/>
            <w:color w:val="0066FF"/>
            <w:sz w:val="22"/>
            <w:szCs w:val="22"/>
            <w:u w:val="single"/>
          </w:rPr>
          <w:t>How to Write a Case for Support</w:t>
        </w:r>
      </w:hyperlink>
      <w:r w:rsidR="003D625A" w:rsidRPr="00EC3BF1">
        <w:rPr>
          <w:rFonts w:ascii="National Book" w:hAnsi="National Book" w:cs="Arial"/>
          <w:color w:val="0066FF"/>
          <w:sz w:val="22"/>
          <w:szCs w:val="22"/>
        </w:rPr>
        <w:t xml:space="preserve"> (Examples of cases at bottom of post)</w:t>
      </w:r>
    </w:p>
    <w:p w14:paraId="5E8A4A55" w14:textId="77777777" w:rsidR="00F00DAA" w:rsidRPr="00EC3BF1" w:rsidRDefault="00B14273" w:rsidP="00F00DAA">
      <w:pPr>
        <w:pStyle w:val="ListParagraph"/>
        <w:numPr>
          <w:ilvl w:val="0"/>
          <w:numId w:val="2"/>
        </w:numPr>
        <w:rPr>
          <w:rFonts w:ascii="National Book" w:hAnsi="National Book"/>
          <w:b/>
          <w:color w:val="0066FF"/>
          <w:sz w:val="22"/>
          <w:szCs w:val="22"/>
        </w:rPr>
      </w:pPr>
      <w:hyperlink r:id="rId12" w:history="1">
        <w:r w:rsidR="00F00DAA"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Powered by the People: the Magic of Crowdfunding in Sport</w:t>
        </w:r>
      </w:hyperlink>
    </w:p>
    <w:p w14:paraId="7A5294F6" w14:textId="77777777" w:rsidR="00F00DAA" w:rsidRPr="007F3920" w:rsidRDefault="00F00DAA" w:rsidP="00F00DAA">
      <w:pPr>
        <w:rPr>
          <w:rFonts w:ascii="National Book" w:hAnsi="National Book"/>
          <w:b/>
          <w:sz w:val="22"/>
          <w:szCs w:val="22"/>
        </w:rPr>
      </w:pPr>
    </w:p>
    <w:p w14:paraId="4D29ABC2" w14:textId="77777777" w:rsidR="00F00DAA" w:rsidRPr="007F3920" w:rsidRDefault="00F00DAA" w:rsidP="00F00DAA">
      <w:pPr>
        <w:ind w:left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Canada Revenue Agency</w:t>
      </w:r>
    </w:p>
    <w:p w14:paraId="52AF1E32" w14:textId="77777777" w:rsidR="00F00DAA" w:rsidRPr="00EC3BF1" w:rsidRDefault="00B14273" w:rsidP="00F00DAA">
      <w:pPr>
        <w:pStyle w:val="ListParagraph"/>
        <w:numPr>
          <w:ilvl w:val="0"/>
          <w:numId w:val="3"/>
        </w:numPr>
        <w:rPr>
          <w:rFonts w:ascii="National Book" w:hAnsi="National Book"/>
          <w:color w:val="0066FF"/>
          <w:sz w:val="22"/>
          <w:szCs w:val="22"/>
        </w:rPr>
      </w:pPr>
      <w:hyperlink r:id="rId13" w:history="1">
        <w:r w:rsidR="00F00DAA"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More Information on RCAAAs</w:t>
        </w:r>
      </w:hyperlink>
    </w:p>
    <w:p w14:paraId="23265382" w14:textId="77777777" w:rsidR="00F00DAA" w:rsidRPr="00EC3BF1" w:rsidRDefault="00B14273" w:rsidP="00F00DAA">
      <w:pPr>
        <w:pStyle w:val="ListParagraph"/>
        <w:numPr>
          <w:ilvl w:val="0"/>
          <w:numId w:val="3"/>
        </w:numPr>
        <w:rPr>
          <w:rFonts w:ascii="National Book" w:hAnsi="National Book"/>
          <w:color w:val="0066FF"/>
          <w:sz w:val="22"/>
          <w:szCs w:val="22"/>
        </w:rPr>
      </w:pPr>
      <w:hyperlink r:id="rId14" w:history="1">
        <w:r w:rsidR="00F00DAA"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CRA Policy on Gift of Services </w:t>
        </w:r>
      </w:hyperlink>
    </w:p>
    <w:p w14:paraId="105E78EC" w14:textId="77777777" w:rsidR="00F00DAA" w:rsidRPr="00EC3BF1" w:rsidRDefault="00B14273" w:rsidP="00F00DAA">
      <w:pPr>
        <w:pStyle w:val="ListParagraph"/>
        <w:numPr>
          <w:ilvl w:val="0"/>
          <w:numId w:val="3"/>
        </w:numPr>
        <w:rPr>
          <w:rFonts w:ascii="National Book" w:hAnsi="National Book"/>
          <w:color w:val="0066FF"/>
          <w:sz w:val="22"/>
          <w:szCs w:val="22"/>
        </w:rPr>
      </w:pPr>
      <w:hyperlink r:id="rId15" w:history="1">
        <w:r w:rsidR="00F00DAA"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Cheque Exchange</w:t>
        </w:r>
      </w:hyperlink>
      <w:r w:rsidR="00F00DAA" w:rsidRPr="00EC3BF1">
        <w:rPr>
          <w:rFonts w:ascii="National Book" w:hAnsi="National Book"/>
          <w:color w:val="0066FF"/>
          <w:sz w:val="22"/>
          <w:szCs w:val="22"/>
        </w:rPr>
        <w:t xml:space="preserve"> (donation of services into a gift that can be receipted)</w:t>
      </w:r>
    </w:p>
    <w:p w14:paraId="1351AF48" w14:textId="77777777" w:rsidR="00F00DAA" w:rsidRPr="007F3920" w:rsidRDefault="00F00DAA" w:rsidP="00F00DAA">
      <w:pPr>
        <w:rPr>
          <w:rFonts w:ascii="National Book" w:hAnsi="National Book"/>
          <w:sz w:val="22"/>
          <w:szCs w:val="22"/>
        </w:rPr>
      </w:pPr>
    </w:p>
    <w:p w14:paraId="3FBE23D0" w14:textId="77777777" w:rsidR="00F00DAA" w:rsidRPr="007F3920" w:rsidRDefault="00F00DAA" w:rsidP="00F00DAA">
      <w:pPr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b/>
          <w:sz w:val="22"/>
          <w:szCs w:val="22"/>
        </w:rPr>
        <w:t>Questions:</w:t>
      </w:r>
      <w:r w:rsidRPr="007F3920">
        <w:rPr>
          <w:rFonts w:ascii="National Book" w:hAnsi="National Book"/>
          <w:sz w:val="22"/>
          <w:szCs w:val="22"/>
        </w:rPr>
        <w:tab/>
        <w:t>Q:</w:t>
      </w:r>
      <w:r w:rsidRPr="007F3920">
        <w:rPr>
          <w:rFonts w:ascii="National Book" w:hAnsi="National Book"/>
        </w:rPr>
        <w:t xml:space="preserve"> </w:t>
      </w:r>
      <w:r w:rsidRPr="007F3920">
        <w:rPr>
          <w:rFonts w:ascii="National Book" w:hAnsi="National Book"/>
          <w:sz w:val="22"/>
          <w:szCs w:val="22"/>
        </w:rPr>
        <w:t>What is the best tactic / approach to ask for planned gifts?</w:t>
      </w:r>
    </w:p>
    <w:p w14:paraId="7C70C76A" w14:textId="77777777" w:rsidR="00F00DAA" w:rsidRPr="007F3920" w:rsidRDefault="00F00DAA" w:rsidP="00F00DAA">
      <w:pPr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ab/>
      </w:r>
      <w:r w:rsidRPr="007F3920">
        <w:rPr>
          <w:rFonts w:ascii="National Book" w:hAnsi="National Book"/>
          <w:sz w:val="22"/>
          <w:szCs w:val="22"/>
        </w:rPr>
        <w:tab/>
        <w:t xml:space="preserve">A: Here are some follow up </w:t>
      </w:r>
      <w:hyperlink r:id="rId16" w:history="1">
        <w:r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resources</w:t>
        </w:r>
      </w:hyperlink>
      <w:r w:rsidRPr="007F3920">
        <w:rPr>
          <w:rFonts w:ascii="National Book" w:hAnsi="National Book"/>
          <w:sz w:val="22"/>
          <w:szCs w:val="22"/>
        </w:rPr>
        <w:t xml:space="preserve"> on planned giving from Canadian Association of Gift Planners</w:t>
      </w:r>
    </w:p>
    <w:p w14:paraId="0D9F1A15" w14:textId="77777777" w:rsidR="00F00DAA" w:rsidRPr="007F3920" w:rsidRDefault="00F00DAA" w:rsidP="00F00DAA">
      <w:pPr>
        <w:rPr>
          <w:rFonts w:ascii="National Book" w:hAnsi="National Book"/>
          <w:sz w:val="22"/>
          <w:szCs w:val="22"/>
        </w:rPr>
      </w:pPr>
    </w:p>
    <w:p w14:paraId="2BB852C0" w14:textId="77777777" w:rsidR="00F00DAA" w:rsidRPr="007F3920" w:rsidRDefault="00F00DAA" w:rsidP="00994966">
      <w:pPr>
        <w:ind w:left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Q:</w:t>
      </w:r>
      <w:r w:rsidR="00994966" w:rsidRPr="007F3920">
        <w:rPr>
          <w:rFonts w:ascii="National Book" w:hAnsi="National Book"/>
          <w:sz w:val="22"/>
          <w:szCs w:val="22"/>
        </w:rPr>
        <w:t xml:space="preserve"> But if you evenly distribute crowdfunding funds among a number of individual athletes that's OK for tax receipting?</w:t>
      </w:r>
    </w:p>
    <w:p w14:paraId="594B4F4A" w14:textId="77777777" w:rsidR="00994966" w:rsidRPr="007F3920" w:rsidRDefault="00994966" w:rsidP="00994966">
      <w:pPr>
        <w:ind w:left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A: When crowdfunding, and any time you are fundraising, it has to be explicitly clear that all money raised is going to you, the federation. It can be for a specific program, but not one individual can benefit, and as an RCAAA, it is 100% your responsibility to maintain what the</w:t>
      </w:r>
      <w:r w:rsidR="003D625A" w:rsidRPr="007F3920">
        <w:rPr>
          <w:rFonts w:ascii="National Book" w:hAnsi="National Book"/>
          <w:sz w:val="22"/>
          <w:szCs w:val="22"/>
        </w:rPr>
        <w:t xml:space="preserve"> CRA calls ‘</w:t>
      </w:r>
      <w:hyperlink r:id="rId17" w:history="1">
        <w:r w:rsidR="003D625A" w:rsidRPr="007F3920">
          <w:rPr>
            <w:rStyle w:val="Hyperlink"/>
            <w:rFonts w:ascii="National Book" w:hAnsi="National Book"/>
            <w:color w:val="auto"/>
            <w:sz w:val="22"/>
            <w:szCs w:val="22"/>
          </w:rPr>
          <w:t>Direction and Control</w:t>
        </w:r>
      </w:hyperlink>
      <w:r w:rsidR="003D625A" w:rsidRPr="007F3920">
        <w:rPr>
          <w:rFonts w:ascii="National Book" w:hAnsi="National Book"/>
          <w:sz w:val="22"/>
          <w:szCs w:val="22"/>
        </w:rPr>
        <w:t>’</w:t>
      </w:r>
      <w:r w:rsidRPr="007F3920">
        <w:rPr>
          <w:rFonts w:ascii="National Book" w:hAnsi="National Book"/>
          <w:sz w:val="22"/>
          <w:szCs w:val="22"/>
        </w:rPr>
        <w:t xml:space="preserve"> over where the donations go – if you do not, you risk losing your status. Therefore, you cannot have a crowdfunding campaign for athletes where the expectation is that whatever funds raised will just be split up and given to athletes (this is seen as a </w:t>
      </w:r>
      <w:hyperlink r:id="rId18" w:history="1">
        <w:r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conduit activity</w:t>
        </w:r>
      </w:hyperlink>
      <w:r w:rsidRPr="007F3920">
        <w:rPr>
          <w:rFonts w:ascii="National Book" w:hAnsi="National Book"/>
          <w:sz w:val="22"/>
          <w:szCs w:val="22"/>
        </w:rPr>
        <w:t>)</w:t>
      </w:r>
      <w:r w:rsidR="00CA31D9" w:rsidRPr="007F3920">
        <w:rPr>
          <w:rFonts w:ascii="National Book" w:hAnsi="National Book"/>
          <w:sz w:val="22"/>
          <w:szCs w:val="22"/>
        </w:rPr>
        <w:t>,</w:t>
      </w:r>
      <w:r w:rsidRPr="007F3920">
        <w:rPr>
          <w:rFonts w:ascii="National Book" w:hAnsi="National Book"/>
          <w:sz w:val="22"/>
          <w:szCs w:val="22"/>
        </w:rPr>
        <w:t xml:space="preserve"> BUT you can have a campaign to raise money for training camps or competitions </w:t>
      </w:r>
      <w:r w:rsidR="00CA31D9" w:rsidRPr="007F3920">
        <w:rPr>
          <w:rFonts w:ascii="National Book" w:hAnsi="National Book"/>
          <w:sz w:val="22"/>
          <w:szCs w:val="22"/>
        </w:rPr>
        <w:t>etc.</w:t>
      </w:r>
      <w:r w:rsidRPr="007F3920">
        <w:rPr>
          <w:rFonts w:ascii="National Book" w:hAnsi="National Book"/>
          <w:sz w:val="22"/>
          <w:szCs w:val="22"/>
        </w:rPr>
        <w:t xml:space="preserve"> of which athletes will benefit.</w:t>
      </w:r>
    </w:p>
    <w:p w14:paraId="392DA4EC" w14:textId="77777777" w:rsidR="00994966" w:rsidRPr="007F3920" w:rsidRDefault="00994966" w:rsidP="00994966">
      <w:pPr>
        <w:ind w:left="1440"/>
        <w:rPr>
          <w:rFonts w:ascii="National Book" w:hAnsi="National Book"/>
          <w:i/>
          <w:sz w:val="22"/>
          <w:szCs w:val="22"/>
        </w:rPr>
      </w:pPr>
      <w:r w:rsidRPr="007F3920">
        <w:rPr>
          <w:rFonts w:ascii="National Book" w:hAnsi="National Book"/>
          <w:i/>
          <w:sz w:val="22"/>
          <w:szCs w:val="22"/>
        </w:rPr>
        <w:t>Bottom line: this is complex and best spoken about, so I’m happy to discuss further on how to execute</w:t>
      </w:r>
    </w:p>
    <w:p w14:paraId="271CBFD0" w14:textId="77777777" w:rsidR="00994966" w:rsidRPr="007F3920" w:rsidRDefault="00994966" w:rsidP="00994966">
      <w:pPr>
        <w:ind w:left="1440"/>
        <w:rPr>
          <w:rFonts w:ascii="National Book" w:hAnsi="National Book"/>
          <w:sz w:val="22"/>
          <w:szCs w:val="22"/>
        </w:rPr>
      </w:pPr>
    </w:p>
    <w:p w14:paraId="14F74C62" w14:textId="77777777" w:rsidR="00994966" w:rsidRPr="007F3920" w:rsidRDefault="00994966" w:rsidP="00994966">
      <w:pPr>
        <w:ind w:left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Q: What are your thoughts on NSOs seeking funding from Foundations? Do you know if this would be a worthwhile target donor to pursue?</w:t>
      </w:r>
    </w:p>
    <w:p w14:paraId="6E39F975" w14:textId="77777777" w:rsidR="00994966" w:rsidRPr="007F3920" w:rsidRDefault="00994966" w:rsidP="00994966">
      <w:pPr>
        <w:ind w:left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>A: Yes! The more you diversify your revenue, the more sustainable you will become! Here are some examples of</w:t>
      </w:r>
      <w:r w:rsidR="00CA31D9" w:rsidRPr="007F3920">
        <w:rPr>
          <w:rFonts w:ascii="National Book" w:hAnsi="National Book"/>
          <w:sz w:val="22"/>
          <w:szCs w:val="22"/>
        </w:rPr>
        <w:t xml:space="preserve"> </w:t>
      </w:r>
      <w:hyperlink r:id="rId19" w:history="1">
        <w:r w:rsidR="00CA31D9"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Government Funding Programs</w:t>
        </w:r>
      </w:hyperlink>
      <w:r w:rsidRPr="007F3920">
        <w:rPr>
          <w:rFonts w:ascii="National Book" w:hAnsi="National Book"/>
          <w:sz w:val="22"/>
          <w:szCs w:val="22"/>
        </w:rPr>
        <w:t xml:space="preserve"> and </w:t>
      </w:r>
      <w:hyperlink r:id="rId20" w:history="1">
        <w:r w:rsidRPr="00EC3BF1">
          <w:rPr>
            <w:rStyle w:val="Hyperlink"/>
            <w:rFonts w:ascii="National Book" w:hAnsi="National Book"/>
            <w:color w:val="0066FF"/>
            <w:sz w:val="22"/>
            <w:szCs w:val="22"/>
          </w:rPr>
          <w:t>Corporate Funding Programs</w:t>
        </w:r>
      </w:hyperlink>
    </w:p>
    <w:p w14:paraId="4123DDA3" w14:textId="77777777" w:rsidR="003D625A" w:rsidRPr="007F3920" w:rsidRDefault="003D625A" w:rsidP="003D625A">
      <w:pPr>
        <w:rPr>
          <w:rFonts w:ascii="National Book" w:hAnsi="National Book"/>
          <w:sz w:val="22"/>
          <w:szCs w:val="22"/>
        </w:rPr>
      </w:pPr>
    </w:p>
    <w:p w14:paraId="17FA91DB" w14:textId="2E613CB4" w:rsidR="00CA31D9" w:rsidRPr="007F3920" w:rsidRDefault="003D625A" w:rsidP="00CA31D9">
      <w:pPr>
        <w:ind w:left="1440" w:hanging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b/>
          <w:sz w:val="22"/>
          <w:szCs w:val="22"/>
        </w:rPr>
        <w:t>Follow Up:</w:t>
      </w:r>
      <w:r w:rsidRPr="007F3920">
        <w:rPr>
          <w:rFonts w:ascii="National Book" w:hAnsi="National Book"/>
          <w:sz w:val="22"/>
          <w:szCs w:val="22"/>
        </w:rPr>
        <w:tab/>
      </w:r>
      <w:r w:rsidR="00CA31D9" w:rsidRPr="007F3920">
        <w:rPr>
          <w:rFonts w:ascii="National Book" w:hAnsi="National Book"/>
          <w:sz w:val="22"/>
          <w:szCs w:val="22"/>
        </w:rPr>
        <w:t xml:space="preserve">Sport philanthropy is still very </w:t>
      </w:r>
      <w:r w:rsidR="003D060D" w:rsidRPr="007F3920">
        <w:rPr>
          <w:rFonts w:ascii="National Book" w:hAnsi="National Book"/>
          <w:sz w:val="22"/>
          <w:szCs w:val="22"/>
        </w:rPr>
        <w:t>new and</w:t>
      </w:r>
      <w:r w:rsidR="00CA31D9" w:rsidRPr="007F3920">
        <w:rPr>
          <w:rFonts w:ascii="National Book" w:hAnsi="National Book"/>
          <w:sz w:val="22"/>
          <w:szCs w:val="22"/>
        </w:rPr>
        <w:t xml:space="preserve"> building out a fund development and engagement program can be complex, but </w:t>
      </w:r>
      <w:r w:rsidR="00C23EBF">
        <w:rPr>
          <w:rFonts w:ascii="National Book" w:hAnsi="National Book"/>
          <w:sz w:val="22"/>
          <w:szCs w:val="22"/>
        </w:rPr>
        <w:t>that should not</w:t>
      </w:r>
      <w:r w:rsidR="00CA31D9" w:rsidRPr="007F3920">
        <w:rPr>
          <w:rFonts w:ascii="National Book" w:hAnsi="National Book"/>
          <w:sz w:val="22"/>
          <w:szCs w:val="22"/>
        </w:rPr>
        <w:t xml:space="preserve"> stop you! </w:t>
      </w:r>
      <w:r w:rsidR="00C23EBF">
        <w:rPr>
          <w:rFonts w:ascii="National Book" w:hAnsi="National Book"/>
          <w:sz w:val="22"/>
          <w:szCs w:val="22"/>
        </w:rPr>
        <w:t>Samantha is</w:t>
      </w:r>
      <w:r w:rsidR="00CA31D9" w:rsidRPr="007F3920">
        <w:rPr>
          <w:rFonts w:ascii="National Book" w:hAnsi="National Book"/>
          <w:sz w:val="22"/>
          <w:szCs w:val="22"/>
        </w:rPr>
        <w:t xml:space="preserve"> offering one-hour consultation calls to get you started, so please feel free to send </w:t>
      </w:r>
      <w:r w:rsidR="00C23EBF">
        <w:rPr>
          <w:rFonts w:ascii="National Book" w:hAnsi="National Book"/>
          <w:sz w:val="22"/>
          <w:szCs w:val="22"/>
        </w:rPr>
        <w:t>Samantha</w:t>
      </w:r>
      <w:r w:rsidR="00CA31D9" w:rsidRPr="007F3920">
        <w:rPr>
          <w:rFonts w:ascii="National Book" w:hAnsi="National Book"/>
          <w:sz w:val="22"/>
          <w:szCs w:val="22"/>
        </w:rPr>
        <w:t xml:space="preserve"> an email to book some time to discuss. </w:t>
      </w:r>
    </w:p>
    <w:p w14:paraId="02BA37A8" w14:textId="77777777" w:rsidR="00CA31D9" w:rsidRPr="007F3920" w:rsidRDefault="00CA31D9" w:rsidP="00CA31D9">
      <w:pPr>
        <w:ind w:left="1440" w:hanging="1440"/>
        <w:rPr>
          <w:rFonts w:ascii="National Book" w:hAnsi="National Book"/>
          <w:sz w:val="22"/>
          <w:szCs w:val="22"/>
        </w:rPr>
      </w:pPr>
    </w:p>
    <w:p w14:paraId="414E80BE" w14:textId="7851252C" w:rsidR="00C17219" w:rsidRDefault="00CA31D9" w:rsidP="00C23EBF">
      <w:pPr>
        <w:ind w:left="1440" w:hanging="1440"/>
        <w:rPr>
          <w:rFonts w:ascii="National Book" w:hAnsi="National Book"/>
          <w:sz w:val="22"/>
          <w:szCs w:val="22"/>
        </w:rPr>
      </w:pPr>
      <w:r w:rsidRPr="007F3920">
        <w:rPr>
          <w:rFonts w:ascii="National Book" w:hAnsi="National Book"/>
          <w:sz w:val="22"/>
          <w:szCs w:val="22"/>
        </w:rPr>
        <w:tab/>
        <w:t xml:space="preserve"> </w:t>
      </w:r>
    </w:p>
    <w:p w14:paraId="5C0C1027" w14:textId="77777777" w:rsidR="00C17219" w:rsidRDefault="00C17219">
      <w:pPr>
        <w:rPr>
          <w:rFonts w:ascii="National Book" w:hAnsi="National Book"/>
          <w:sz w:val="22"/>
          <w:szCs w:val="22"/>
        </w:rPr>
      </w:pPr>
      <w:r>
        <w:rPr>
          <w:rFonts w:ascii="National Book" w:hAnsi="National Book"/>
          <w:sz w:val="22"/>
          <w:szCs w:val="22"/>
        </w:rPr>
        <w:br w:type="page"/>
      </w:r>
    </w:p>
    <w:p w14:paraId="297006F2" w14:textId="0FE1C6DA" w:rsidR="00F00DAA" w:rsidRPr="007F3920" w:rsidRDefault="00EC3BF1" w:rsidP="00EC3BF1">
      <w:pPr>
        <w:ind w:left="1440" w:hanging="1440"/>
        <w:jc w:val="center"/>
        <w:rPr>
          <w:rFonts w:ascii="National Book" w:hAnsi="National Book"/>
          <w:sz w:val="22"/>
          <w:szCs w:val="22"/>
        </w:rPr>
      </w:pPr>
      <w:r>
        <w:rPr>
          <w:rFonts w:ascii="National Book" w:hAnsi="National Book"/>
          <w:sz w:val="22"/>
          <w:szCs w:val="22"/>
        </w:rPr>
        <w:object w:dxaOrig="5041" w:dyaOrig="7201" w14:anchorId="55B03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719.5pt" o:ole="">
            <v:imagedata r:id="rId21" o:title=""/>
          </v:shape>
          <o:OLEObject Type="Embed" ProgID="AcroExch.Document.DC" ShapeID="_x0000_i1025" DrawAspect="Content" ObjectID="_1612068320" r:id="rId22"/>
        </w:object>
      </w:r>
    </w:p>
    <w:sectPr w:rsidR="00F00DAA" w:rsidRPr="007F3920" w:rsidSect="00CA31D9">
      <w:footerReference w:type="default" r:id="rId23"/>
      <w:pgSz w:w="12240" w:h="15840"/>
      <w:pgMar w:top="720" w:right="720" w:bottom="720" w:left="72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E706" w14:textId="77777777" w:rsidR="00B14273" w:rsidRDefault="00B14273" w:rsidP="003D625A">
      <w:r>
        <w:separator/>
      </w:r>
    </w:p>
  </w:endnote>
  <w:endnote w:type="continuationSeparator" w:id="0">
    <w:p w14:paraId="7F02EDD4" w14:textId="77777777" w:rsidR="00B14273" w:rsidRDefault="00B14273" w:rsidP="003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AB5F" w14:textId="4BE43C3A" w:rsidR="00CA31D9" w:rsidRPr="00107B05" w:rsidRDefault="00CA31D9" w:rsidP="003D625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E4C4" w14:textId="77777777" w:rsidR="00B14273" w:rsidRDefault="00B14273" w:rsidP="003D625A">
      <w:r>
        <w:separator/>
      </w:r>
    </w:p>
  </w:footnote>
  <w:footnote w:type="continuationSeparator" w:id="0">
    <w:p w14:paraId="3A9151F2" w14:textId="77777777" w:rsidR="00B14273" w:rsidRDefault="00B14273" w:rsidP="003D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32B"/>
    <w:multiLevelType w:val="hybridMultilevel"/>
    <w:tmpl w:val="3752CE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54D9A"/>
    <w:multiLevelType w:val="hybridMultilevel"/>
    <w:tmpl w:val="C37039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573A12"/>
    <w:multiLevelType w:val="hybridMultilevel"/>
    <w:tmpl w:val="119875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AA"/>
    <w:rsid w:val="00107B05"/>
    <w:rsid w:val="003515DD"/>
    <w:rsid w:val="003D060D"/>
    <w:rsid w:val="003D625A"/>
    <w:rsid w:val="00666DA4"/>
    <w:rsid w:val="007F3920"/>
    <w:rsid w:val="00985BF6"/>
    <w:rsid w:val="00994966"/>
    <w:rsid w:val="009E4070"/>
    <w:rsid w:val="00AE1022"/>
    <w:rsid w:val="00B14273"/>
    <w:rsid w:val="00B30C1E"/>
    <w:rsid w:val="00C17219"/>
    <w:rsid w:val="00C23EBF"/>
    <w:rsid w:val="00CA31D9"/>
    <w:rsid w:val="00DF6714"/>
    <w:rsid w:val="00EC3BF1"/>
    <w:rsid w:val="00F0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72420"/>
  <w14:defaultImageDpi w14:val="300"/>
  <w15:docId w15:val="{EEFF976E-F7A6-4B2B-95C2-9321731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DAA"/>
    <w:rPr>
      <w:color w:val="0000FF" w:themeColor="hyperlink"/>
      <w:u w:val="single"/>
    </w:rPr>
  </w:style>
  <w:style w:type="paragraph" w:customStyle="1" w:styleId="m1102616232016727298gmail-msolistparagraph">
    <w:name w:val="m_1102616232016727298gmail-msolistparagraph"/>
    <w:basedOn w:val="Normal"/>
    <w:rsid w:val="00F00D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49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5A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D6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5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D6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5A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E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relatesocialcapital.com" TargetMode="External"/><Relationship Id="rId13" Type="http://schemas.openxmlformats.org/officeDocument/2006/relationships/hyperlink" Target="https://www.canada.ca/en/revenue-agency/services/charities-giving/other-organizations-that-issue-donation-receipts-qualified-donees/canadian-amateur-athletic-associations.html" TargetMode="External"/><Relationship Id="rId18" Type="http://schemas.openxmlformats.org/officeDocument/2006/relationships/hyperlink" Target="https://www.canadiancharitylaw.ca/blog/what_is_a_conduit_under_cras_guidance_on_registered_charities_using_an_int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http://www.relatesocialcapital.com" TargetMode="External"/><Relationship Id="rId12" Type="http://schemas.openxmlformats.org/officeDocument/2006/relationships/hyperlink" Target="https://sirc.ca/blog/powered-people-magic-crowdfunding-sport" TargetMode="External"/><Relationship Id="rId17" Type="http://schemas.openxmlformats.org/officeDocument/2006/relationships/hyperlink" Target="https://www.canadiancharitylaw.ca/blog/what_is_direction_and_control_for_a_canadian_charity_when_using_intermedi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gp-acpdp.org/resource-library" TargetMode="External"/><Relationship Id="rId20" Type="http://schemas.openxmlformats.org/officeDocument/2006/relationships/hyperlink" Target="https://charityvillage.com/cms/knowledge-centre/fundraising/funder-directory/corporate-funding-progra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latesocialcapital.com/single-post/2018/03/29/how-to-write-a-case-for-suppor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nadiancharitylaw.ca/blog/using_a_cheque_exchange_to_turn_a_donation_of_services_into_a_gift_that_ca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latesocialcapital.com/single-post/2018/11/07/How-to-Engage-Alumni" TargetMode="External"/><Relationship Id="rId19" Type="http://schemas.openxmlformats.org/officeDocument/2006/relationships/hyperlink" Target="https://charityvillage.com/cms/knowledge-centre/fundraising/funder-directory/government-funding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Team%20Drives\1-System%20Excellence\NSF%20Services\NSF%20Services%2021103\Webinars\Fundraising\COC%20Fundraising%20Webinar%20Jan%202019_Medium.mp4" TargetMode="External"/><Relationship Id="rId14" Type="http://schemas.openxmlformats.org/officeDocument/2006/relationships/hyperlink" Target="https://www.canada.ca/en/revenue-agency/services/charities-giving/charities/policies-guidance/policy-commentary-017-gifts-services.html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Rogers</dc:creator>
  <cp:keywords/>
  <dc:description/>
  <cp:lastModifiedBy>Lizanne Murphy</cp:lastModifiedBy>
  <cp:revision>2</cp:revision>
  <cp:lastPrinted>2019-02-13T14:09:00Z</cp:lastPrinted>
  <dcterms:created xsi:type="dcterms:W3CDTF">2019-02-19T12:59:00Z</dcterms:created>
  <dcterms:modified xsi:type="dcterms:W3CDTF">2019-02-19T12:59:00Z</dcterms:modified>
</cp:coreProperties>
</file>